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2C3B" w14:textId="77777777" w:rsidR="00804B64" w:rsidRDefault="00804B64" w:rsidP="00804B64">
      <w:pPr>
        <w:jc w:val="center"/>
        <w:rPr>
          <w:b/>
        </w:rPr>
      </w:pPr>
    </w:p>
    <w:p w14:paraId="654DFE85" w14:textId="5CF2D912" w:rsidR="00804B64" w:rsidRPr="00253035" w:rsidRDefault="00253035" w:rsidP="002530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12BDC5" wp14:editId="4FA86541">
            <wp:extent cx="2868846" cy="71721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69" cy="72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A127F" w14:textId="3C866C9E" w:rsidR="00804B64" w:rsidRPr="00253035" w:rsidRDefault="00804B64" w:rsidP="00804B64">
      <w:pPr>
        <w:jc w:val="center"/>
        <w:rPr>
          <w:b/>
          <w:caps/>
          <w:sz w:val="30"/>
          <w:szCs w:val="30"/>
        </w:rPr>
      </w:pPr>
      <w:r w:rsidRPr="00253035">
        <w:rPr>
          <w:b/>
          <w:caps/>
          <w:sz w:val="30"/>
          <w:szCs w:val="30"/>
        </w:rPr>
        <w:t>202</w:t>
      </w:r>
      <w:bookmarkStart w:id="0" w:name="_GoBack"/>
      <w:bookmarkEnd w:id="0"/>
      <w:r w:rsidRPr="00253035">
        <w:rPr>
          <w:b/>
          <w:caps/>
          <w:sz w:val="30"/>
          <w:szCs w:val="30"/>
        </w:rPr>
        <w:t>4 Legislative Agenda</w:t>
      </w:r>
    </w:p>
    <w:p w14:paraId="0C01C843" w14:textId="101D048A" w:rsidR="008020E8" w:rsidRPr="008020E8" w:rsidRDefault="008020E8" w:rsidP="00804B64">
      <w:pPr>
        <w:jc w:val="center"/>
        <w:rPr>
          <w:caps/>
          <w:sz w:val="28"/>
          <w:u w:val="single"/>
        </w:rPr>
      </w:pP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 w:rsidR="00253035">
        <w:rPr>
          <w:caps/>
          <w:sz w:val="28"/>
          <w:u w:val="single"/>
        </w:rPr>
        <w:tab/>
      </w:r>
      <w:r w:rsidR="00253035">
        <w:rPr>
          <w:caps/>
          <w:sz w:val="28"/>
          <w:u w:val="single"/>
        </w:rPr>
        <w:tab/>
      </w:r>
      <w:r w:rsidR="00253035">
        <w:rPr>
          <w:caps/>
          <w:sz w:val="28"/>
          <w:u w:val="single"/>
        </w:rPr>
        <w:tab/>
      </w:r>
    </w:p>
    <w:p w14:paraId="75149EB3" w14:textId="77777777" w:rsidR="00804B64" w:rsidRPr="00253035" w:rsidRDefault="00804B64" w:rsidP="00804B64">
      <w:pPr>
        <w:jc w:val="center"/>
        <w:rPr>
          <w:b/>
          <w:caps/>
          <w:color w:val="3366FF"/>
          <w:sz w:val="10"/>
          <w:szCs w:val="10"/>
        </w:rPr>
      </w:pPr>
    </w:p>
    <w:p w14:paraId="33192FF1" w14:textId="77777777" w:rsidR="00804B64" w:rsidRPr="00253035" w:rsidRDefault="00804B64" w:rsidP="00804B64">
      <w:pPr>
        <w:jc w:val="center"/>
        <w:rPr>
          <w:b/>
          <w:caps/>
          <w:color w:val="3366FF"/>
          <w:sz w:val="26"/>
          <w:szCs w:val="26"/>
        </w:rPr>
      </w:pPr>
      <w:r w:rsidRPr="00253035">
        <w:rPr>
          <w:b/>
          <w:caps/>
          <w:color w:val="3366FF"/>
          <w:sz w:val="26"/>
          <w:szCs w:val="26"/>
        </w:rPr>
        <w:t>Tourism Marketing resources</w:t>
      </w:r>
    </w:p>
    <w:p w14:paraId="1272F2CE" w14:textId="77777777" w:rsidR="00253035" w:rsidRPr="00253035" w:rsidRDefault="00253035" w:rsidP="00804B64">
      <w:pPr>
        <w:rPr>
          <w:b/>
          <w:sz w:val="10"/>
          <w:szCs w:val="10"/>
        </w:rPr>
      </w:pPr>
    </w:p>
    <w:p w14:paraId="6850EE37" w14:textId="430E30CD" w:rsidR="00804B64" w:rsidRPr="00180583" w:rsidRDefault="00804B64" w:rsidP="00804B64">
      <w:pPr>
        <w:rPr>
          <w:b/>
          <w:sz w:val="22"/>
        </w:rPr>
      </w:pPr>
      <w:r w:rsidRPr="00180583">
        <w:rPr>
          <w:b/>
          <w:sz w:val="22"/>
        </w:rPr>
        <w:t>Preserve the 1% Transient Room Tax for Marketing All of Kentucky</w:t>
      </w:r>
    </w:p>
    <w:p w14:paraId="03CFA0A1" w14:textId="77777777" w:rsidR="00804B64" w:rsidRPr="00180583" w:rsidRDefault="00804B64" w:rsidP="00804B64">
      <w:pPr>
        <w:rPr>
          <w:sz w:val="22"/>
        </w:rPr>
      </w:pPr>
      <w:r w:rsidRPr="00180583">
        <w:rPr>
          <w:sz w:val="22"/>
        </w:rPr>
        <w:t xml:space="preserve">These funds are intended for statewide tourism marketing and should not be redirected or diverted for other purposes. </w:t>
      </w:r>
    </w:p>
    <w:p w14:paraId="4F520280" w14:textId="77777777" w:rsidR="00804B64" w:rsidRPr="00180583" w:rsidRDefault="00804B64" w:rsidP="00804B64">
      <w:pPr>
        <w:rPr>
          <w:b/>
          <w:sz w:val="22"/>
        </w:rPr>
      </w:pPr>
    </w:p>
    <w:p w14:paraId="1836C351" w14:textId="2B825BF3" w:rsidR="00804B64" w:rsidRPr="00180583" w:rsidRDefault="00804B64" w:rsidP="00804B64">
      <w:pPr>
        <w:rPr>
          <w:b/>
          <w:sz w:val="22"/>
        </w:rPr>
      </w:pPr>
      <w:r w:rsidRPr="00180583">
        <w:rPr>
          <w:b/>
          <w:sz w:val="22"/>
        </w:rPr>
        <w:t>Local Transient Room Tax</w:t>
      </w:r>
      <w:r>
        <w:rPr>
          <w:b/>
          <w:sz w:val="22"/>
        </w:rPr>
        <w:t xml:space="preserve">: </w:t>
      </w:r>
      <w:r w:rsidRPr="00180583">
        <w:rPr>
          <w:b/>
          <w:sz w:val="22"/>
        </w:rPr>
        <w:t xml:space="preserve">No Centralized </w:t>
      </w:r>
      <w:r>
        <w:rPr>
          <w:b/>
          <w:sz w:val="22"/>
        </w:rPr>
        <w:t xml:space="preserve">Collection System </w:t>
      </w:r>
    </w:p>
    <w:p w14:paraId="07EFB39A" w14:textId="46A122F3" w:rsidR="00804B64" w:rsidRPr="00180583" w:rsidRDefault="00804B64" w:rsidP="00804B64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180583">
        <w:rPr>
          <w:sz w:val="22"/>
        </w:rPr>
        <w:t xml:space="preserve">Such a system would cost $2.4 million and currently </w:t>
      </w:r>
      <w:r w:rsidRPr="00180583">
        <w:rPr>
          <w:rFonts w:ascii="Cambria" w:hAnsi="Cambria" w:cs="Calibri"/>
          <w:sz w:val="22"/>
        </w:rPr>
        <w:t xml:space="preserve">“there are no legal or technological barriers prohibiting online facilitators from complying with their collection and reporting responsibilities to Kentucky’s local transient jurisdictions.” </w:t>
      </w:r>
      <w:r w:rsidRPr="00180583">
        <w:rPr>
          <w:rFonts w:ascii="Cambria" w:hAnsi="Cambria" w:cs="Calibri"/>
          <w:i/>
          <w:sz w:val="22"/>
        </w:rPr>
        <w:t>Source: KY Department of Revenue</w:t>
      </w:r>
    </w:p>
    <w:p w14:paraId="11C9BEC4" w14:textId="77777777" w:rsidR="00804B64" w:rsidRDefault="00804B64" w:rsidP="00804B64">
      <w:pPr>
        <w:rPr>
          <w:b/>
          <w:sz w:val="22"/>
        </w:rPr>
      </w:pPr>
    </w:p>
    <w:p w14:paraId="03A811F0" w14:textId="77777777" w:rsidR="00804B64" w:rsidRPr="00180583" w:rsidRDefault="00804B64" w:rsidP="00804B64">
      <w:pPr>
        <w:rPr>
          <w:b/>
          <w:sz w:val="22"/>
        </w:rPr>
      </w:pPr>
      <w:r w:rsidRPr="00180583">
        <w:rPr>
          <w:b/>
          <w:sz w:val="22"/>
        </w:rPr>
        <w:t>Expand City Eligibility to Enact Restaurant Tax</w:t>
      </w:r>
    </w:p>
    <w:p w14:paraId="0975ED32" w14:textId="2E00F9D9" w:rsidR="00253035" w:rsidRDefault="00804B64" w:rsidP="00804B64">
      <w:pPr>
        <w:rPr>
          <w:sz w:val="22"/>
        </w:rPr>
      </w:pPr>
      <w:r w:rsidRPr="00180583">
        <w:rPr>
          <w:sz w:val="22"/>
        </w:rPr>
        <w:t xml:space="preserve">All cities should be permitted to enact the restaurant tax </w:t>
      </w:r>
      <w:r w:rsidRPr="00180583">
        <w:rPr>
          <w:i/>
          <w:sz w:val="22"/>
        </w:rPr>
        <w:t>IF</w:t>
      </w:r>
      <w:r w:rsidRPr="00180583">
        <w:rPr>
          <w:sz w:val="22"/>
        </w:rPr>
        <w:t xml:space="preserve"> doing so preserves current requirements in cities that currently have it and a reasonable portion of the monies from a new </w:t>
      </w:r>
      <w:r w:rsidRPr="00180583">
        <w:rPr>
          <w:rStyle w:val="il"/>
          <w:sz w:val="22"/>
        </w:rPr>
        <w:t>tax</w:t>
      </w:r>
      <w:r w:rsidRPr="00180583">
        <w:rPr>
          <w:sz w:val="22"/>
        </w:rPr>
        <w:t xml:space="preserve"> are dedicated to the city’s tourist commission.</w:t>
      </w:r>
    </w:p>
    <w:p w14:paraId="58B7E216" w14:textId="6B508D90" w:rsidR="00253035" w:rsidRPr="008020E8" w:rsidRDefault="00253035" w:rsidP="00253035">
      <w:pPr>
        <w:jc w:val="center"/>
        <w:rPr>
          <w:caps/>
          <w:sz w:val="28"/>
          <w:u w:val="single"/>
        </w:rPr>
      </w:pP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</w:p>
    <w:p w14:paraId="5A192954" w14:textId="64969D5F" w:rsidR="00804B64" w:rsidRPr="00253035" w:rsidRDefault="00804B64" w:rsidP="00804B64">
      <w:pPr>
        <w:rPr>
          <w:sz w:val="10"/>
          <w:szCs w:val="10"/>
        </w:rPr>
      </w:pPr>
    </w:p>
    <w:p w14:paraId="125374C1" w14:textId="767DB2ED" w:rsidR="00804B64" w:rsidRPr="00253035" w:rsidRDefault="00804B64" w:rsidP="00804B64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caps/>
          <w:color w:val="3366FF"/>
          <w:sz w:val="26"/>
          <w:szCs w:val="26"/>
        </w:rPr>
      </w:pPr>
      <w:r w:rsidRPr="00253035">
        <w:rPr>
          <w:rFonts w:ascii="Cambria" w:hAnsi="Cambria" w:cs="Calibri"/>
          <w:b/>
          <w:caps/>
          <w:color w:val="3366FF"/>
          <w:sz w:val="26"/>
          <w:szCs w:val="26"/>
        </w:rPr>
        <w:t>A Welcoming Kentucky</w:t>
      </w:r>
    </w:p>
    <w:p w14:paraId="4F4617AC" w14:textId="77777777" w:rsidR="00253035" w:rsidRPr="00253035" w:rsidRDefault="00253035" w:rsidP="00804B64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caps/>
          <w:color w:val="3366FF"/>
          <w:sz w:val="10"/>
          <w:szCs w:val="10"/>
        </w:rPr>
      </w:pPr>
    </w:p>
    <w:p w14:paraId="26B2BF8B" w14:textId="77777777" w:rsidR="00804B64" w:rsidRPr="00180583" w:rsidRDefault="00804B64" w:rsidP="00804B64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sz w:val="22"/>
        </w:rPr>
      </w:pPr>
      <w:r w:rsidRPr="00180583">
        <w:rPr>
          <w:rFonts w:ascii="Cambria" w:hAnsi="Cambria" w:cs="Calibri"/>
          <w:b/>
          <w:sz w:val="22"/>
        </w:rPr>
        <w:t>No Legislation That is Not Welcoming to All Visitors</w:t>
      </w:r>
    </w:p>
    <w:p w14:paraId="326B1083" w14:textId="434830EC" w:rsidR="00804B64" w:rsidRPr="00180583" w:rsidRDefault="00804B64" w:rsidP="00804B64">
      <w:pPr>
        <w:rPr>
          <w:rFonts w:ascii="Cambria" w:hAnsi="Cambria"/>
          <w:sz w:val="22"/>
        </w:rPr>
      </w:pPr>
      <w:r w:rsidRPr="00180583">
        <w:rPr>
          <w:rFonts w:ascii="Cambria" w:hAnsi="Cambria" w:cs="Calibri-Bold"/>
          <w:color w:val="000000" w:themeColor="text1"/>
          <w:sz w:val="22"/>
        </w:rPr>
        <w:t>Kentucky’s welcoming attitude is a driving force in attracting a large and diverse array of visitors and the economic benefits that result.</w:t>
      </w:r>
      <w:r w:rsidR="00253035">
        <w:rPr>
          <w:rFonts w:ascii="Cambria" w:hAnsi="Cambria" w:cs="Calibri-Bold"/>
          <w:color w:val="000000" w:themeColor="text1"/>
          <w:sz w:val="22"/>
        </w:rPr>
        <w:t xml:space="preserve"> </w:t>
      </w:r>
      <w:r w:rsidRPr="00180583">
        <w:rPr>
          <w:rFonts w:ascii="Cambria" w:hAnsi="Cambria"/>
          <w:sz w:val="22"/>
        </w:rPr>
        <w:t>Legislation p</w:t>
      </w:r>
      <w:r>
        <w:rPr>
          <w:rFonts w:ascii="Cambria" w:hAnsi="Cambria"/>
          <w:sz w:val="22"/>
        </w:rPr>
        <w:t xml:space="preserve">erceived as discriminatory </w:t>
      </w:r>
      <w:r w:rsidRPr="00180583">
        <w:rPr>
          <w:rFonts w:ascii="Cambria" w:hAnsi="Cambria"/>
          <w:sz w:val="22"/>
        </w:rPr>
        <w:t xml:space="preserve">that could trigger actions damaging to visitation (boycotts, cancellations, etc.) should not be enacted. </w:t>
      </w:r>
    </w:p>
    <w:p w14:paraId="50654356" w14:textId="77777777" w:rsidR="00804B64" w:rsidRPr="00180583" w:rsidRDefault="00804B64" w:rsidP="00804B64">
      <w:pPr>
        <w:rPr>
          <w:rFonts w:ascii="Cambria" w:hAnsi="Cambria" w:cs="Calibri-Bold"/>
          <w:color w:val="000000" w:themeColor="text1"/>
          <w:sz w:val="22"/>
        </w:rPr>
      </w:pPr>
    </w:p>
    <w:p w14:paraId="57D51A99" w14:textId="77777777" w:rsidR="00804B64" w:rsidRPr="00180583" w:rsidRDefault="00804B64" w:rsidP="00804B64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sz w:val="22"/>
        </w:rPr>
      </w:pPr>
      <w:r w:rsidRPr="00180583">
        <w:rPr>
          <w:rFonts w:ascii="Cambria" w:hAnsi="Cambria" w:cs="Calibri"/>
          <w:b/>
          <w:sz w:val="22"/>
        </w:rPr>
        <w:t>Address Human Trafficking</w:t>
      </w:r>
    </w:p>
    <w:p w14:paraId="256A500D" w14:textId="11DA7644" w:rsidR="00804B64" w:rsidRDefault="00804B64" w:rsidP="00804B64">
      <w:pPr>
        <w:rPr>
          <w:rFonts w:ascii="Cambria" w:hAnsi="Cambria" w:cs="Calibri-Bold"/>
          <w:bCs/>
          <w:color w:val="000000" w:themeColor="text1"/>
          <w:sz w:val="22"/>
        </w:rPr>
      </w:pPr>
      <w:r>
        <w:rPr>
          <w:rFonts w:ascii="Cambria" w:hAnsi="Cambria"/>
          <w:sz w:val="22"/>
        </w:rPr>
        <w:t xml:space="preserve">Where </w:t>
      </w:r>
      <w:r w:rsidRPr="00180583">
        <w:rPr>
          <w:rFonts w:ascii="Cambria" w:hAnsi="Cambria"/>
          <w:sz w:val="22"/>
        </w:rPr>
        <w:t>this horrific criminal activity occurs is often tourism related (hotels, major events, etc.). Enact legislation that</w:t>
      </w:r>
      <w:r w:rsidRPr="00180583">
        <w:rPr>
          <w:rFonts w:ascii="Cambria" w:hAnsi="Cambria" w:cs="Calibri-Bold"/>
          <w:bCs/>
          <w:color w:val="000000" w:themeColor="text1"/>
          <w:sz w:val="22"/>
        </w:rPr>
        <w:t xml:space="preserve"> continues to more fully and effectively address human trafficking.</w:t>
      </w:r>
    </w:p>
    <w:p w14:paraId="5982B538" w14:textId="028ABA89" w:rsidR="00253035" w:rsidRPr="00253035" w:rsidRDefault="00253035" w:rsidP="00253035">
      <w:pPr>
        <w:jc w:val="center"/>
        <w:rPr>
          <w:caps/>
          <w:sz w:val="28"/>
          <w:u w:val="single"/>
        </w:rPr>
      </w:pP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</w:p>
    <w:p w14:paraId="7A8DCED9" w14:textId="77777777" w:rsidR="00804B64" w:rsidRPr="00253035" w:rsidRDefault="00804B64" w:rsidP="00804B64">
      <w:pPr>
        <w:rPr>
          <w:rFonts w:ascii="Cambria" w:hAnsi="Cambria" w:cs="Calibri-Bold"/>
          <w:bCs/>
          <w:color w:val="000000" w:themeColor="text1"/>
          <w:sz w:val="10"/>
          <w:szCs w:val="10"/>
        </w:rPr>
      </w:pPr>
    </w:p>
    <w:p w14:paraId="2D4549A7" w14:textId="6F38B219" w:rsidR="00804B64" w:rsidRPr="00253035" w:rsidRDefault="00804B64" w:rsidP="00804B64">
      <w:pPr>
        <w:jc w:val="center"/>
        <w:rPr>
          <w:rFonts w:ascii="Cambria" w:hAnsi="Cambria" w:cs="Calibri-Bold"/>
          <w:b/>
          <w:bCs/>
          <w:caps/>
          <w:color w:val="3366FF"/>
          <w:sz w:val="26"/>
          <w:szCs w:val="26"/>
        </w:rPr>
      </w:pPr>
      <w:r w:rsidRPr="00253035">
        <w:rPr>
          <w:rFonts w:ascii="Cambria" w:hAnsi="Cambria" w:cs="Calibri-Bold"/>
          <w:b/>
          <w:bCs/>
          <w:caps/>
          <w:color w:val="3366FF"/>
          <w:sz w:val="26"/>
          <w:szCs w:val="26"/>
        </w:rPr>
        <w:t>Bourbon Visitor Experiences</w:t>
      </w:r>
    </w:p>
    <w:p w14:paraId="6D155E0B" w14:textId="77777777" w:rsidR="00253035" w:rsidRPr="00253035" w:rsidRDefault="00253035" w:rsidP="00804B64">
      <w:pPr>
        <w:jc w:val="center"/>
        <w:rPr>
          <w:rFonts w:ascii="Cambria" w:hAnsi="Cambria" w:cs="Calibri-Bold"/>
          <w:b/>
          <w:bCs/>
          <w:caps/>
          <w:color w:val="3366FF"/>
          <w:sz w:val="10"/>
          <w:szCs w:val="10"/>
        </w:rPr>
      </w:pPr>
    </w:p>
    <w:p w14:paraId="56275805" w14:textId="77777777" w:rsidR="00804B64" w:rsidRPr="00180583" w:rsidRDefault="00804B64" w:rsidP="00804B64">
      <w:pPr>
        <w:spacing w:beforeLines="1" w:before="2" w:afterLines="1" w:after="2"/>
        <w:rPr>
          <w:rFonts w:ascii="Cambria" w:hAnsi="Cambria" w:cs="Times New Roman"/>
          <w:b/>
          <w:sz w:val="22"/>
          <w:szCs w:val="20"/>
        </w:rPr>
      </w:pPr>
      <w:r w:rsidRPr="00180583">
        <w:rPr>
          <w:rFonts w:ascii="Cambria" w:hAnsi="Cambria" w:cs="Times New Roman"/>
          <w:b/>
          <w:sz w:val="22"/>
          <w:szCs w:val="20"/>
        </w:rPr>
        <w:t>Allow Limited Self-distribution for Craft Distillers</w:t>
      </w:r>
    </w:p>
    <w:p w14:paraId="3E68952D" w14:textId="77777777" w:rsidR="00804B64" w:rsidRPr="00180583" w:rsidRDefault="00804B64" w:rsidP="00804B64">
      <w:pPr>
        <w:spacing w:beforeLines="1" w:before="2" w:afterLines="1" w:after="2"/>
        <w:rPr>
          <w:rFonts w:ascii="Cambria" w:hAnsi="Cambria" w:cs="Calibri-Bold"/>
          <w:sz w:val="22"/>
        </w:rPr>
      </w:pPr>
      <w:r w:rsidRPr="00180583">
        <w:rPr>
          <w:rFonts w:ascii="Cambria" w:hAnsi="Cambria" w:cs="Calibri-Bold"/>
          <w:sz w:val="22"/>
        </w:rPr>
        <w:t xml:space="preserve">Craft distillers should be permitted to self-distribute a limited quantity of their bourbon. </w:t>
      </w:r>
    </w:p>
    <w:p w14:paraId="4D2FC5A0" w14:textId="77777777" w:rsidR="00804B64" w:rsidRPr="00180583" w:rsidRDefault="00804B64" w:rsidP="00804B64">
      <w:pPr>
        <w:spacing w:beforeLines="1" w:before="2" w:afterLines="1" w:after="2"/>
        <w:rPr>
          <w:rFonts w:ascii="Cambria" w:hAnsi="Cambria" w:cs="Calibri-Bold"/>
          <w:sz w:val="22"/>
        </w:rPr>
      </w:pPr>
    </w:p>
    <w:p w14:paraId="3CBD62A4" w14:textId="77777777" w:rsidR="00804B64" w:rsidRPr="00180583" w:rsidRDefault="00804B64" w:rsidP="00804B64">
      <w:pPr>
        <w:spacing w:beforeLines="1" w:before="2" w:afterLines="1" w:after="2"/>
        <w:rPr>
          <w:rFonts w:ascii="Cambria" w:hAnsi="Cambria" w:cs="Times New Roman"/>
          <w:b/>
          <w:sz w:val="22"/>
          <w:szCs w:val="20"/>
        </w:rPr>
      </w:pPr>
      <w:r w:rsidRPr="00180583">
        <w:rPr>
          <w:rFonts w:ascii="Cambria" w:hAnsi="Cambria" w:cs="Times New Roman"/>
          <w:b/>
          <w:sz w:val="22"/>
          <w:szCs w:val="20"/>
        </w:rPr>
        <w:t>Expand Satellite Tasting Rooms</w:t>
      </w:r>
    </w:p>
    <w:p w14:paraId="05FB1375" w14:textId="44B87D05" w:rsidR="00253035" w:rsidRDefault="00804B64" w:rsidP="00804B64">
      <w:pPr>
        <w:spacing w:beforeLines="1" w:before="2" w:afterLines="1" w:after="2"/>
        <w:rPr>
          <w:rFonts w:ascii="Cambria" w:hAnsi="Cambria" w:cs="Calibri-Bold"/>
          <w:sz w:val="22"/>
        </w:rPr>
      </w:pPr>
      <w:r w:rsidRPr="00180583">
        <w:rPr>
          <w:rFonts w:ascii="Cambria" w:hAnsi="Cambria" w:cs="Calibri-Bold"/>
          <w:sz w:val="22"/>
        </w:rPr>
        <w:t>Expand from one satellite tasting room per distillery on-site visitor center to two satellite tasting rooms per visitor center.</w:t>
      </w:r>
    </w:p>
    <w:p w14:paraId="2EB12201" w14:textId="16A14A9F" w:rsidR="00253035" w:rsidRPr="00253035" w:rsidRDefault="00253035" w:rsidP="00253035">
      <w:pPr>
        <w:jc w:val="center"/>
        <w:rPr>
          <w:caps/>
          <w:sz w:val="28"/>
          <w:u w:val="single"/>
        </w:rPr>
      </w:pP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ab/>
      </w:r>
    </w:p>
    <w:p w14:paraId="26D55B33" w14:textId="77777777" w:rsidR="00804B64" w:rsidRPr="00253035" w:rsidRDefault="00804B64" w:rsidP="00804B64">
      <w:pPr>
        <w:spacing w:beforeLines="1" w:before="2" w:afterLines="1" w:after="2"/>
        <w:ind w:left="1440"/>
        <w:jc w:val="center"/>
        <w:rPr>
          <w:rFonts w:ascii="Cambria" w:hAnsi="Cambria" w:cs="Calibri-Bold"/>
          <w:sz w:val="10"/>
          <w:szCs w:val="10"/>
        </w:rPr>
      </w:pPr>
    </w:p>
    <w:p w14:paraId="62187623" w14:textId="3FF8A766" w:rsidR="00804B64" w:rsidRDefault="00804B64" w:rsidP="00253035">
      <w:pPr>
        <w:spacing w:beforeLines="1" w:before="2" w:afterLines="1" w:after="2"/>
        <w:jc w:val="center"/>
        <w:rPr>
          <w:rFonts w:ascii="Cambria" w:hAnsi="Cambria" w:cs="Calibri-Bold"/>
          <w:b/>
          <w:caps/>
          <w:sz w:val="28"/>
        </w:rPr>
      </w:pPr>
      <w:r w:rsidRPr="00804B64">
        <w:rPr>
          <w:rFonts w:ascii="Cambria" w:hAnsi="Cambria" w:cs="Calibri-Bold"/>
          <w:b/>
          <w:caps/>
          <w:sz w:val="28"/>
        </w:rPr>
        <w:t>Actively Monitoring</w:t>
      </w:r>
    </w:p>
    <w:p w14:paraId="589B4DEB" w14:textId="77777777" w:rsidR="00253035" w:rsidRPr="00253035" w:rsidRDefault="00253035" w:rsidP="00804B64">
      <w:pPr>
        <w:spacing w:beforeLines="1" w:before="2" w:afterLines="1" w:after="2"/>
        <w:ind w:left="1440"/>
        <w:jc w:val="both"/>
        <w:rPr>
          <w:rFonts w:ascii="Cambria" w:hAnsi="Cambria" w:cs="Calibri-Bold"/>
          <w:b/>
          <w:caps/>
          <w:sz w:val="10"/>
          <w:szCs w:val="10"/>
        </w:rPr>
      </w:pPr>
    </w:p>
    <w:p w14:paraId="4E0CC66E" w14:textId="664651B5" w:rsidR="00253035" w:rsidRPr="00A57317" w:rsidRDefault="00804B64" w:rsidP="00804B64">
      <w:pPr>
        <w:rPr>
          <w:rFonts w:ascii="Cambria" w:hAnsi="Cambria"/>
          <w:color w:val="000000" w:themeColor="text1"/>
          <w:sz w:val="22"/>
        </w:rPr>
      </w:pPr>
      <w:r w:rsidRPr="00A57317">
        <w:rPr>
          <w:rFonts w:ascii="Cambria" w:hAnsi="Cambria"/>
          <w:color w:val="000000" w:themeColor="text1"/>
          <w:sz w:val="22"/>
        </w:rPr>
        <w:t>The fo</w:t>
      </w:r>
      <w:r w:rsidR="00A57317">
        <w:rPr>
          <w:rFonts w:ascii="Cambria" w:hAnsi="Cambria"/>
          <w:color w:val="000000" w:themeColor="text1"/>
          <w:sz w:val="22"/>
        </w:rPr>
        <w:t>llowing are issues that will</w:t>
      </w:r>
      <w:r w:rsidR="008020E8">
        <w:rPr>
          <w:rFonts w:ascii="Cambria" w:hAnsi="Cambria"/>
          <w:color w:val="000000" w:themeColor="text1"/>
          <w:sz w:val="22"/>
        </w:rPr>
        <w:t xml:space="preserve"> </w:t>
      </w:r>
      <w:r w:rsidR="00A57317">
        <w:rPr>
          <w:rFonts w:ascii="Cambria" w:hAnsi="Cambria"/>
          <w:color w:val="000000" w:themeColor="text1"/>
          <w:sz w:val="22"/>
        </w:rPr>
        <w:t>evolve</w:t>
      </w:r>
      <w:r w:rsidRPr="00A57317">
        <w:rPr>
          <w:rFonts w:ascii="Cambria" w:hAnsi="Cambria"/>
          <w:color w:val="000000" w:themeColor="text1"/>
          <w:sz w:val="22"/>
        </w:rPr>
        <w:t xml:space="preserve"> over the course of the 2024 session that potentially have tourism implications and that KTIA will be actively monitoring with positions to be adopted later if warranted:</w:t>
      </w:r>
    </w:p>
    <w:p w14:paraId="4157B793" w14:textId="77777777" w:rsidR="00E342FA" w:rsidRPr="00A57317" w:rsidRDefault="00804B64" w:rsidP="00E342FA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ambria" w:hAnsi="Cambria" w:cs="Times New Roman"/>
          <w:b/>
          <w:sz w:val="22"/>
          <w:szCs w:val="20"/>
        </w:rPr>
      </w:pPr>
      <w:r w:rsidRPr="00A57317">
        <w:rPr>
          <w:rFonts w:ascii="Cambria" w:hAnsi="Cambria" w:cs="Times New Roman"/>
          <w:b/>
          <w:sz w:val="22"/>
          <w:szCs w:val="20"/>
        </w:rPr>
        <w:t>Artificial Intelligence (AI)</w:t>
      </w:r>
    </w:p>
    <w:p w14:paraId="5D2A4F94" w14:textId="77777777" w:rsidR="00E342FA" w:rsidRPr="00A57317" w:rsidRDefault="00E342FA" w:rsidP="00E342FA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ambria" w:hAnsi="Cambria" w:cs="Times New Roman"/>
          <w:b/>
          <w:sz w:val="22"/>
          <w:szCs w:val="20"/>
        </w:rPr>
      </w:pPr>
      <w:r w:rsidRPr="00A57317">
        <w:rPr>
          <w:rFonts w:ascii="Cambria" w:hAnsi="Cambria" w:cs="Times New Roman"/>
          <w:b/>
          <w:sz w:val="22"/>
          <w:szCs w:val="20"/>
        </w:rPr>
        <w:t>Data Privacy</w:t>
      </w:r>
    </w:p>
    <w:p w14:paraId="41CBE872" w14:textId="0D0DD237" w:rsidR="00253035" w:rsidRPr="00253035" w:rsidRDefault="00E342FA" w:rsidP="00804B64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ambria" w:hAnsi="Cambria" w:cs="Times New Roman"/>
          <w:b/>
          <w:sz w:val="22"/>
          <w:szCs w:val="20"/>
        </w:rPr>
      </w:pPr>
      <w:r w:rsidRPr="00A57317">
        <w:rPr>
          <w:rFonts w:ascii="Cambria" w:hAnsi="Cambria" w:cs="Times New Roman"/>
          <w:b/>
          <w:sz w:val="22"/>
          <w:szCs w:val="20"/>
        </w:rPr>
        <w:t>Local Tax Reform</w:t>
      </w:r>
    </w:p>
    <w:p w14:paraId="01CA868C" w14:textId="32B982C4" w:rsidR="00804B64" w:rsidRPr="00253035" w:rsidRDefault="00A57317" w:rsidP="00804B64">
      <w:pPr>
        <w:spacing w:beforeLines="1" w:before="2" w:afterLines="1" w:after="2"/>
        <w:rPr>
          <w:rFonts w:ascii="Cambria" w:hAnsi="Cambria" w:cs="Times New Roman"/>
          <w:sz w:val="22"/>
          <w:szCs w:val="20"/>
        </w:rPr>
      </w:pPr>
      <w:r w:rsidRPr="00A57317">
        <w:rPr>
          <w:rFonts w:ascii="Cambria" w:hAnsi="Cambria" w:cs="Times New Roman"/>
          <w:sz w:val="22"/>
          <w:szCs w:val="20"/>
        </w:rPr>
        <w:t>With</w:t>
      </w:r>
      <w:r w:rsidR="00E342FA" w:rsidRPr="00A57317">
        <w:rPr>
          <w:rFonts w:ascii="Cambria" w:hAnsi="Cambria" w:cs="Times New Roman"/>
          <w:sz w:val="22"/>
          <w:szCs w:val="20"/>
        </w:rPr>
        <w:t xml:space="preserve"> these and other issues that may emerge, KTIA’s active </w:t>
      </w:r>
      <w:r w:rsidRPr="00A57317">
        <w:rPr>
          <w:rFonts w:ascii="Cambria" w:hAnsi="Cambria" w:cs="Times New Roman"/>
          <w:sz w:val="22"/>
          <w:szCs w:val="20"/>
        </w:rPr>
        <w:t>monitoring will be to communicate</w:t>
      </w:r>
      <w:r w:rsidR="00E342FA" w:rsidRPr="00A57317">
        <w:rPr>
          <w:rFonts w:ascii="Cambria" w:hAnsi="Cambria" w:cs="Times New Roman"/>
          <w:sz w:val="22"/>
          <w:szCs w:val="20"/>
        </w:rPr>
        <w:t xml:space="preserve"> tourism perspectives to legislators, including w</w:t>
      </w:r>
      <w:r w:rsidRPr="00A57317">
        <w:rPr>
          <w:rFonts w:ascii="Cambria" w:hAnsi="Cambria" w:cs="Times New Roman"/>
          <w:sz w:val="22"/>
          <w:szCs w:val="20"/>
        </w:rPr>
        <w:t>ays</w:t>
      </w:r>
      <w:r w:rsidR="00AD255F">
        <w:rPr>
          <w:rFonts w:ascii="Cambria" w:hAnsi="Cambria" w:cs="Times New Roman"/>
          <w:sz w:val="22"/>
          <w:szCs w:val="20"/>
        </w:rPr>
        <w:t xml:space="preserve"> to benefit the industry and to</w:t>
      </w:r>
      <w:r w:rsidR="00E342FA" w:rsidRPr="00A57317">
        <w:rPr>
          <w:rFonts w:ascii="Cambria" w:hAnsi="Cambria" w:cs="Times New Roman"/>
          <w:sz w:val="22"/>
          <w:szCs w:val="20"/>
        </w:rPr>
        <w:t xml:space="preserve"> avoid </w:t>
      </w:r>
      <w:r w:rsidRPr="00A57317">
        <w:rPr>
          <w:rFonts w:ascii="Cambria" w:hAnsi="Cambria" w:cs="Times New Roman"/>
          <w:sz w:val="22"/>
          <w:szCs w:val="20"/>
        </w:rPr>
        <w:t xml:space="preserve">negative </w:t>
      </w:r>
      <w:r w:rsidR="00E342FA" w:rsidRPr="00A57317">
        <w:rPr>
          <w:rFonts w:ascii="Cambria" w:hAnsi="Cambria" w:cs="Times New Roman"/>
          <w:sz w:val="22"/>
          <w:szCs w:val="20"/>
        </w:rPr>
        <w:t>actions</w:t>
      </w:r>
      <w:r w:rsidRPr="00A57317">
        <w:rPr>
          <w:rFonts w:ascii="Cambria" w:hAnsi="Cambria" w:cs="Times New Roman"/>
          <w:sz w:val="22"/>
          <w:szCs w:val="20"/>
        </w:rPr>
        <w:t>, such as any that are</w:t>
      </w:r>
      <w:r w:rsidR="00E342FA" w:rsidRPr="00A57317">
        <w:rPr>
          <w:rFonts w:ascii="Cambria" w:hAnsi="Cambria" w:cs="Times New Roman"/>
          <w:sz w:val="22"/>
          <w:szCs w:val="20"/>
        </w:rPr>
        <w:t xml:space="preserve"> unnecessarily </w:t>
      </w:r>
      <w:r w:rsidRPr="00A57317">
        <w:rPr>
          <w:rFonts w:ascii="Cambria" w:hAnsi="Cambria" w:cs="Times New Roman"/>
          <w:sz w:val="22"/>
          <w:szCs w:val="20"/>
        </w:rPr>
        <w:t xml:space="preserve">restrictive, </w:t>
      </w:r>
      <w:r w:rsidR="00E342FA" w:rsidRPr="00A57317">
        <w:rPr>
          <w:rFonts w:ascii="Cambria" w:hAnsi="Cambria" w:cs="Times New Roman"/>
          <w:sz w:val="22"/>
          <w:szCs w:val="20"/>
        </w:rPr>
        <w:t>burdensome</w:t>
      </w:r>
      <w:r w:rsidRPr="00A57317">
        <w:rPr>
          <w:rFonts w:ascii="Cambria" w:hAnsi="Cambria" w:cs="Times New Roman"/>
          <w:sz w:val="22"/>
          <w:szCs w:val="20"/>
        </w:rPr>
        <w:t xml:space="preserve"> or otherwise adverse to tourism interests. </w:t>
      </w:r>
    </w:p>
    <w:sectPr w:rsidR="00804B64" w:rsidRPr="00253035" w:rsidSect="0025303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20B060402020202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207"/>
    <w:multiLevelType w:val="hybridMultilevel"/>
    <w:tmpl w:val="B4AC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B21"/>
    <w:multiLevelType w:val="hybridMultilevel"/>
    <w:tmpl w:val="5B4E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23934"/>
    <w:multiLevelType w:val="hybridMultilevel"/>
    <w:tmpl w:val="6D26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1097"/>
    <w:multiLevelType w:val="hybridMultilevel"/>
    <w:tmpl w:val="344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64"/>
    <w:rsid w:val="00253035"/>
    <w:rsid w:val="008020E8"/>
    <w:rsid w:val="00804B64"/>
    <w:rsid w:val="00A57317"/>
    <w:rsid w:val="00AD255F"/>
    <w:rsid w:val="00E34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80FD"/>
  <w15:docId w15:val="{CA9D0A33-1E32-6F41-B20C-BA1FF3AB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04B64"/>
  </w:style>
  <w:style w:type="paragraph" w:styleId="ListParagraph">
    <w:name w:val="List Paragraph"/>
    <w:basedOn w:val="Normal"/>
    <w:uiPriority w:val="34"/>
    <w:qFormat/>
    <w:rsid w:val="0080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2077</Characters>
  <Application>Microsoft Office Word</Application>
  <DocSecurity>0</DocSecurity>
  <Lines>17</Lines>
  <Paragraphs>4</Paragraphs>
  <ScaleCrop>false</ScaleCrop>
  <Company>KTIA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</dc:creator>
  <cp:keywords/>
  <cp:lastModifiedBy>Sarah Brock</cp:lastModifiedBy>
  <cp:revision>3</cp:revision>
  <dcterms:created xsi:type="dcterms:W3CDTF">2023-12-15T16:19:00Z</dcterms:created>
  <dcterms:modified xsi:type="dcterms:W3CDTF">2023-12-15T16:26:00Z</dcterms:modified>
</cp:coreProperties>
</file>